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3B" w:rsidRDefault="00032D3B" w:rsidP="00032D3B">
      <w:r>
        <w:t>Recenzja rozprawy doktorskiej</w:t>
      </w:r>
    </w:p>
    <w:p w:rsidR="00032D3B" w:rsidRDefault="00032D3B" w:rsidP="00032D3B"/>
    <w:p w:rsidR="00032D3B" w:rsidRDefault="00032D3B" w:rsidP="00032D3B">
      <w:r>
        <w:t>Yannis Charalabidis</w:t>
      </w:r>
    </w:p>
    <w:p w:rsidR="00032D3B" w:rsidRDefault="00032D3B" w:rsidP="00032D3B">
      <w:r>
        <w:t>Profesor zarządzania cyfrowego</w:t>
      </w:r>
    </w:p>
    <w:p w:rsidR="00032D3B" w:rsidRPr="00032D3B" w:rsidRDefault="00032D3B" w:rsidP="00032D3B">
      <w:pPr>
        <w:rPr>
          <w:lang w:val="en-US"/>
        </w:rPr>
      </w:pPr>
      <w:r w:rsidRPr="00032D3B">
        <w:rPr>
          <w:lang w:val="en-US"/>
        </w:rPr>
        <w:t>Dyrektor, Digital Governance Research Centre</w:t>
      </w:r>
    </w:p>
    <w:p w:rsidR="00032D3B" w:rsidRPr="00032D3B" w:rsidRDefault="00032D3B" w:rsidP="00032D3B">
      <w:pPr>
        <w:rPr>
          <w:lang w:val="en-US"/>
        </w:rPr>
      </w:pPr>
      <w:r w:rsidRPr="00032D3B">
        <w:rPr>
          <w:lang w:val="en-US"/>
        </w:rPr>
        <w:t>University of the Aegean, Grecja</w:t>
      </w:r>
    </w:p>
    <w:p w:rsidR="00032D3B" w:rsidRPr="00032D3B" w:rsidRDefault="00032D3B" w:rsidP="00032D3B">
      <w:pPr>
        <w:rPr>
          <w:lang w:val="en-US"/>
        </w:rPr>
      </w:pPr>
    </w:p>
    <w:p w:rsidR="00032D3B" w:rsidRPr="00032D3B" w:rsidRDefault="00032D3B" w:rsidP="00032D3B">
      <w:pPr>
        <w:rPr>
          <w:lang w:val="en-US"/>
        </w:rPr>
      </w:pPr>
      <w:r w:rsidRPr="00032D3B">
        <w:rPr>
          <w:lang w:val="en-US"/>
        </w:rPr>
        <w:t>Autor rozprawy: Jaromir Durkiewicz</w:t>
      </w:r>
    </w:p>
    <w:p w:rsidR="00032D3B" w:rsidRPr="00032D3B" w:rsidRDefault="00032D3B" w:rsidP="00032D3B">
      <w:pPr>
        <w:rPr>
          <w:lang w:val="en-US"/>
        </w:rPr>
      </w:pPr>
      <w:r w:rsidRPr="00032D3B">
        <w:rPr>
          <w:lang w:val="en-US"/>
        </w:rPr>
        <w:t xml:space="preserve">Tytuł: </w:t>
      </w:r>
      <w:r w:rsidRPr="002514FE">
        <w:rPr>
          <w:i/>
          <w:lang w:val="en-US"/>
        </w:rPr>
        <w:t>Digital Government Value Logic - Conceptual and Benchmarking Model</w:t>
      </w:r>
    </w:p>
    <w:p w:rsidR="00032D3B" w:rsidRDefault="00032D3B" w:rsidP="00032D3B">
      <w:r>
        <w:t>Dyscyplina: Nauki o zarządzaniu i jakości</w:t>
      </w:r>
    </w:p>
    <w:p w:rsidR="00032D3B" w:rsidRDefault="00032D3B" w:rsidP="00032D3B">
      <w:r>
        <w:t>Promotor: Tomasz Janowski</w:t>
      </w:r>
    </w:p>
    <w:p w:rsidR="00032D3B" w:rsidRDefault="00032D3B" w:rsidP="00032D3B"/>
    <w:p w:rsidR="00032D3B" w:rsidRPr="004C229C" w:rsidRDefault="00032D3B" w:rsidP="00032D3B">
      <w:pPr>
        <w:rPr>
          <w:b/>
        </w:rPr>
      </w:pPr>
      <w:r w:rsidRPr="004C229C">
        <w:rPr>
          <w:b/>
        </w:rPr>
        <w:t>Podsumowanie oceny</w:t>
      </w:r>
    </w:p>
    <w:p w:rsidR="00032D3B" w:rsidRDefault="00032D3B" w:rsidP="00032D3B"/>
    <w:p w:rsidR="00032D3B" w:rsidRDefault="00032D3B" w:rsidP="00032D3B">
      <w:r>
        <w:t>Rozprawa podejmuje rzeczywiście istotny, a zarazem niedostatecznie zbadany problem w ob</w:t>
      </w:r>
      <w:r w:rsidR="002E2D02">
        <w:t>szarze zar</w:t>
      </w:r>
      <w:r>
        <w:t xml:space="preserve">ządu cyfrowego (digital government, DG): w jaki sposób </w:t>
      </w:r>
      <w:r w:rsidR="002E2D02">
        <w:t>analiza porównawcza</w:t>
      </w:r>
      <w:r>
        <w:t xml:space="preserve"> </w:t>
      </w:r>
      <w:r w:rsidR="002E2D02">
        <w:t>zarządzania</w:t>
      </w:r>
      <w:r>
        <w:t xml:space="preserve"> cyfrowego na poziomie państw (digital government benchmarking, DGB) może zostać powiązan</w:t>
      </w:r>
      <w:r w:rsidR="002E2D02">
        <w:t>a</w:t>
      </w:r>
      <w:r>
        <w:t xml:space="preserve"> z logiką tworzenia wartości publicznej, zamiast funkcjonować przede wszystkim jako statyczne ćwiczenie rankingowe. Autor argumentuje — moim zdaniem dość przekonująco — że wiele uznanych międzynarodowo inicjatyw benchmarkingowych (Komisja Europejska, Organizacja Narodów Zjednoczonych, OECD, Bank Światowy) dostarcza „pozbawionych kontekstu migawek” wybranych aspektów DG i, choć są one użyteczne jako instrumenty opisowe, często nie spełniają w wystarczającym stopniu funkcji praktycznych narzędzi diagnostycznych dla polityki publicznej i zarządzania. Zasadniczym krokiem naukowym w rozprawie jest zatem wprowadzenie ramy —</w:t>
      </w:r>
      <w:r w:rsidRPr="002E2D02">
        <w:rPr>
          <w:i/>
        </w:rPr>
        <w:t>Digital Government Value Logic</w:t>
      </w:r>
      <w:r>
        <w:t xml:space="preserve"> (DGVL) — która ujmuje DG jako wspomagany technologią system tworzenia wartości, złożony z wchodzących ze sobą w interakcje komponentów konceptualnych oraz procesów generowania wartości między nimi, a następnie wykazanie, w jaki sposób taka konceptualizacja może wspierać bardziej istotną z punktu widzenia polityki publicznej praktykę </w:t>
      </w:r>
      <w:r w:rsidR="002E2D02">
        <w:t>analizy porównawczej</w:t>
      </w:r>
      <w:r>
        <w:t>.</w:t>
      </w:r>
    </w:p>
    <w:p w:rsidR="00032D3B" w:rsidRDefault="00032D3B" w:rsidP="00032D3B"/>
    <w:p w:rsidR="00032D3B" w:rsidRDefault="00032D3B" w:rsidP="00032D3B">
      <w:r>
        <w:t>Rozprawa została zorganizowana wokół czterech celów badawczych (RO1–RO4), obejmujących: (i) integrację rozproszonych idei obecnych w literaturze w ramach DGVL, (ii) pozycjonowanie DGVL jako rozszerzeni</w:t>
      </w:r>
      <w:r w:rsidR="002E2D02">
        <w:t>a</w:t>
      </w:r>
      <w:r>
        <w:t xml:space="preserve"> obecnych podejść </w:t>
      </w:r>
      <w:r w:rsidR="002E2D02">
        <w:t>porównawczych</w:t>
      </w:r>
      <w:r>
        <w:t>, (iii) przedstawienie przewodnika metodologicznego dla projektowania instrumentów benchmarkingowych opartych na DGVL oraz (iv) wykazanie wykonalności poprzez zastosowanie pilotażowe. Część empiryczna/operacyjna została wyrażona w postaci modelu benchmarkingowego opartego na DGVL (DGVLB), opracowanego w czterech badaniach (Project Study, Concept Study, Method Study, Pilot Study).</w:t>
      </w:r>
    </w:p>
    <w:p w:rsidR="00032D3B" w:rsidRDefault="00032D3B" w:rsidP="00032D3B"/>
    <w:p w:rsidR="00032D3B" w:rsidRDefault="00032D3B" w:rsidP="00032D3B">
      <w:r>
        <w:t xml:space="preserve">Pod względem metodologicznym praca łączy jakościową analizę porównawczą głównych projektów DGB z wykorzystaniem perspektywy inspirowanej </w:t>
      </w:r>
      <w:r w:rsidR="002E2D02">
        <w:t>T</w:t>
      </w:r>
      <w:r>
        <w:t xml:space="preserve">eorią </w:t>
      </w:r>
      <w:r w:rsidR="002E2D02">
        <w:t>A</w:t>
      </w:r>
      <w:r>
        <w:t xml:space="preserve">ktywności, Formalną Analizę Pojęć (Formal Concept Analysis, FCA) w celu wyodrębnienia „pakietów konceptualnych” wskaźników oraz operacjonalizację efektywności generowania wartości opartą na analizie </w:t>
      </w:r>
      <w:r w:rsidR="002E2D02">
        <w:t>O</w:t>
      </w:r>
      <w:r>
        <w:t xml:space="preserve">bwiedni </w:t>
      </w:r>
      <w:r w:rsidR="002E2D02">
        <w:t>D</w:t>
      </w:r>
      <w:r>
        <w:t xml:space="preserve">anych (Data Envelopment Analysis, DEA), rozszerzoną o wartości docelowe projekcyjne, zbiory odniesienia, macierze najlepszych praktyk oraz </w:t>
      </w:r>
      <w:r>
        <w:lastRenderedPageBreak/>
        <w:t>obliczenia efektywności krzyżowej w celu ograniczenia słabości samooceny charakterystycznej dla DEA.</w:t>
      </w:r>
    </w:p>
    <w:p w:rsidR="00032D3B" w:rsidRDefault="00032D3B" w:rsidP="00032D3B"/>
    <w:p w:rsidR="00032D3B" w:rsidRDefault="00032D3B" w:rsidP="00032D3B">
      <w:r>
        <w:t>Implementacja pilotażowa demonstruje działanie modelu na pięciu reprezentatywnych procesach generowania wartości (F2T, D2S, T2GP, S2U, C2D), przyporządkowanych do kategorii wartości publicznej i wspartych odpowiednią literaturą. W ujęciu ogólnym jest to spójna i ambitna rozprawa, której celem jest przesunięcie DGB od „pomiaru i rankingu” w stronę uczenia się benchmarkingowego oraz praktycznej diagnozy, przy jednoczesnym realistycznym uwzględnieniu ograniczeń wynikających z dostępnych międzynarodowych zbiorów danych. Najmocniejsze strony pracy to:</w:t>
      </w:r>
    </w:p>
    <w:p w:rsidR="00032D3B" w:rsidRDefault="00032D3B" w:rsidP="00032D3B">
      <w:r>
        <w:t>(a) zidentyfikowanie rozbieżności koncepcyjnej między narracjami o tworzeniu wartości obecnymi w badaniach nad DG a typową mechaniką instrumentów DGB,</w:t>
      </w:r>
    </w:p>
    <w:p w:rsidR="00032D3B" w:rsidRDefault="00032D3B" w:rsidP="00032D3B">
      <w:r>
        <w:t>(b) przedstawienie uporządkowanej sekwencji metod od pojęcia do pomiaru (wybór projektów, ekstrakcja pojęć, zestaw narzędzi metodologicznych i pilotaż), oraz</w:t>
      </w:r>
    </w:p>
    <w:p w:rsidR="00032D3B" w:rsidRDefault="00032D3B" w:rsidP="00032D3B">
      <w:r>
        <w:t>(c) zaprezentowanie wymiernych wyników analitycznych (wyniki efektywności, jednostki odniesienia, wartości docelowe, macierze najlepszych praktyk), które — przy ostrożnym zastosowaniu — mogłyby rzeczywiście wspierać proces podejmowania decyzji.</w:t>
      </w:r>
    </w:p>
    <w:p w:rsidR="00032D3B" w:rsidRDefault="00032D3B" w:rsidP="00032D3B"/>
    <w:p w:rsidR="00032D3B" w:rsidRDefault="00032D3B" w:rsidP="00032D3B">
      <w:r>
        <w:t>Istnieją również ograniczenia, które powinny zostać wyraźnie wskazane w ocenie: silne oparcie na dostępnych systemach wskaźników złożonych stwarza ryzyko „benchmarkingu twórców benchmarkingu”; niektóre decyzje (np. eliminacja UN-EGS i WU-IDGR, dobór procesów czy strategia harmonizacji danych) są uzasadnione, lecz zyskałyby na bardziej przejrzyst</w:t>
      </w:r>
      <w:r w:rsidR="00477B1E">
        <w:t>ym omówieniu</w:t>
      </w:r>
      <w:r>
        <w:t>; a pilotaż pozostaje celowo ograniczoną demonstracją, a nie pełnoskalową oceną wyników DG, co autor otwarcie przyznaje.</w:t>
      </w:r>
    </w:p>
    <w:p w:rsidR="00032D3B" w:rsidRDefault="00032D3B" w:rsidP="00032D3B"/>
    <w:p w:rsidR="00032D3B" w:rsidRDefault="00032D3B" w:rsidP="00032D3B">
      <w:r>
        <w:t>Pomimo tych zastrzeżeń uważam, że rozprawa wykazuje:</w:t>
      </w:r>
    </w:p>
    <w:p w:rsidR="00032D3B" w:rsidRDefault="00032D3B" w:rsidP="00032D3B">
      <w:r>
        <w:t>• wiedzę teoretyczną w zakresie konceptualizacji DG, debaty nad wartością publiczną oraz systemów benchmarkingowych,</w:t>
      </w:r>
    </w:p>
    <w:p w:rsidR="00032D3B" w:rsidRDefault="00032D3B" w:rsidP="00032D3B">
      <w:r>
        <w:t xml:space="preserve">• zdolność do prowadzenia samodzielnych badań, w tym rozwijania pojęć, integrowania metodologii oraz konstruowania wieloźródłowego zbioru danych </w:t>
      </w:r>
      <w:r w:rsidR="00477B1E">
        <w:t>porównawczych</w:t>
      </w:r>
      <w:r>
        <w:t>,</w:t>
      </w:r>
    </w:p>
    <w:p w:rsidR="00032D3B" w:rsidRDefault="00032D3B" w:rsidP="00032D3B">
      <w:r>
        <w:t>• oryginalny wkład polegający na ujęciu DGB przez pryzmat wyraźnej logiki generowania wartości, dostarczeniu replikowalnego przewodnika metodologicznego oraz pilotażowego instrumentu,</w:t>
      </w:r>
    </w:p>
    <w:p w:rsidR="00032D3B" w:rsidRDefault="00032D3B" w:rsidP="00032D3B">
      <w:r>
        <w:t>• ogólną spójność w zakresie powiązania celów, badań oraz walidacji wyników badawczych.</w:t>
      </w:r>
    </w:p>
    <w:p w:rsidR="00032D3B" w:rsidRDefault="00032D3B" w:rsidP="00032D3B"/>
    <w:p w:rsidR="00032D3B" w:rsidRDefault="00032D3B" w:rsidP="00032D3B">
      <w:r>
        <w:t>Na tej podstawie, zgodnie z kryteriami określonymi w instytucjonalnych wytycznych dotyczących recenzji rozpraw doktorskich, przedstawiam poniżej szczegółową ocenę i kończę ją jednoznaczną rekomendacją.</w:t>
      </w:r>
    </w:p>
    <w:p w:rsidR="00032D3B" w:rsidRDefault="00032D3B" w:rsidP="00032D3B"/>
    <w:p w:rsidR="00032D3B" w:rsidRPr="00477B1E" w:rsidRDefault="00032D3B" w:rsidP="00032D3B">
      <w:pPr>
        <w:rPr>
          <w:b/>
          <w:sz w:val="28"/>
          <w:szCs w:val="28"/>
        </w:rPr>
      </w:pPr>
      <w:r w:rsidRPr="00477B1E">
        <w:rPr>
          <w:b/>
          <w:sz w:val="28"/>
          <w:szCs w:val="28"/>
        </w:rPr>
        <w:t xml:space="preserve">1. Nowatorstwo naukowe i wkład </w:t>
      </w:r>
      <w:r w:rsidR="00477B1E">
        <w:rPr>
          <w:b/>
          <w:sz w:val="28"/>
          <w:szCs w:val="28"/>
        </w:rPr>
        <w:t>w</w:t>
      </w:r>
      <w:r w:rsidRPr="00477B1E">
        <w:rPr>
          <w:b/>
          <w:sz w:val="28"/>
          <w:szCs w:val="28"/>
        </w:rPr>
        <w:t xml:space="preserve"> dyscyplin</w:t>
      </w:r>
      <w:r w:rsidR="00477B1E">
        <w:rPr>
          <w:b/>
          <w:sz w:val="28"/>
          <w:szCs w:val="28"/>
        </w:rPr>
        <w:t>ę</w:t>
      </w:r>
    </w:p>
    <w:p w:rsidR="00032D3B" w:rsidRDefault="00032D3B" w:rsidP="00032D3B"/>
    <w:p w:rsidR="00032D3B" w:rsidRPr="004C229C" w:rsidRDefault="00032D3B" w:rsidP="00032D3B">
      <w:pPr>
        <w:rPr>
          <w:b/>
        </w:rPr>
      </w:pPr>
      <w:r w:rsidRPr="004C229C">
        <w:rPr>
          <w:b/>
        </w:rPr>
        <w:t>1.1. Oryginalność problemu badawczego</w:t>
      </w:r>
    </w:p>
    <w:p w:rsidR="00032D3B" w:rsidRDefault="00032D3B" w:rsidP="00032D3B"/>
    <w:p w:rsidR="00032D3B" w:rsidRDefault="00032D3B" w:rsidP="00032D3B">
      <w:r>
        <w:t xml:space="preserve">Rozprawa identyfikuje lukę, która ma zarówno wymiar praktyczny, jak i teoretyczny: wiele projektów benchmarkingowych zapewnia pomiar porównawczy, lecz nie operacjonalizuje w sposób jawny tego, jak </w:t>
      </w:r>
      <w:r w:rsidR="00477B1E">
        <w:t>za</w:t>
      </w:r>
      <w:r>
        <w:t xml:space="preserve">rząd cyfrowy generuje wartość publiczną, a zatem ma trudność z dostarczaniem wniosków ukierunkowujących działanie (w odróżnieniu od opisowych tabel </w:t>
      </w:r>
      <w:r w:rsidR="00477B1E">
        <w:lastRenderedPageBreak/>
        <w:t>rankingowych</w:t>
      </w:r>
      <w:r>
        <w:t>). Luka ta nie ma wyłącznie charakteru retorycznego. Nabiera ona znaczenia operacyjnego wtedy, gdy rządy wykorzystują wyniki benchmarkingu do uzasadniania inwestycji, projektowania reform lub komunikowania postępu. Bez jawnej logiki łączącej komponenty (podstawy prawne i organizacyjne, platformy technologiczne, zarządzanie danymi, jakość usług, zaangażowanie obywateli) z rezultatami (wykorzystanie usług, jakość rządzenia, siła demokracji), benchmarking może łatwo sprowadzić się do „liczenia tego, co policzalne”, zamiast „mierzenia tego, co istotne”.</w:t>
      </w:r>
    </w:p>
    <w:p w:rsidR="00032D3B" w:rsidRDefault="00032D3B" w:rsidP="00032D3B"/>
    <w:p w:rsidR="00032D3B" w:rsidRDefault="00032D3B" w:rsidP="00032D3B">
      <w:r>
        <w:t>Kluczowe twierdzenie konceptualne autora głosi, że imperatyw generowania wartości powinien zostać umieszczony w centrum projektowania DGB: benchmarking powinien w bardziej dosłowny sposób zachowywać się jak benchmarking — wspierać uczenie się od partnerów, diagnozować nieefektywności i mapować ścieżki doskonalenia — zamiast tworzyć statyczne rankingi. Jest to istotne przeformułowanie, zgodne ze współczesnym myśleniem w polityce publicznej o zarządzaniu opartym na dowodach, zarządzaniu wynikami i dojrzałości zdolności, a zarazem zakorzenione w tradycji wartości publicznej obecnej w literaturze DG.</w:t>
      </w:r>
    </w:p>
    <w:p w:rsidR="00032D3B" w:rsidRDefault="00032D3B" w:rsidP="00032D3B"/>
    <w:p w:rsidR="00032D3B" w:rsidRPr="004C229C" w:rsidRDefault="00032D3B" w:rsidP="00032D3B">
      <w:r w:rsidRPr="004C229C">
        <w:t>1.2. Rama pojęciowa DGVL jako wkład naukowy</w:t>
      </w:r>
    </w:p>
    <w:p w:rsidR="00032D3B" w:rsidRDefault="00032D3B" w:rsidP="00032D3B"/>
    <w:p w:rsidR="00032D3B" w:rsidRDefault="00032D3B" w:rsidP="00032D3B">
      <w:r>
        <w:t>Rama DGVL została przedstawiona jako wspomagany technologią system generowania wartości publicznej poprzez procesy generowania wartości zachodzące między komponentami konceptualnymi. Ujęcie to jest wartościowe, ponieważ w sposób jawny łączy dwa sposoby, w jakie DG jest często opisywany:</w:t>
      </w:r>
    </w:p>
    <w:p w:rsidR="00032D3B" w:rsidRDefault="00032D3B" w:rsidP="00032D3B">
      <w:r>
        <w:t>• DG jako proces (etapy prowadzące od nakładów do rezultatów), oraz</w:t>
      </w:r>
    </w:p>
    <w:p w:rsidR="00032D3B" w:rsidRDefault="00032D3B" w:rsidP="00032D3B">
      <w:r>
        <w:t>• DG jako system (oddziałujące na siebie komponenty i podmioty).</w:t>
      </w:r>
    </w:p>
    <w:p w:rsidR="00032D3B" w:rsidRDefault="00032D3B" w:rsidP="00032D3B"/>
    <w:p w:rsidR="00032D3B" w:rsidRDefault="00032D3B" w:rsidP="00032D3B">
      <w:r>
        <w:t xml:space="preserve">Rozprawa wskazuje na pokrewieństwo konceptualne z wcześniejszymi ramami, takimi jak „łańcuch wartości DG” (Heeks) czy podejścia ewaluacyjne zorientowane na wartość publiczną (np. Loukis), przy jednoczesnym podkreśleniu oryginalności </w:t>
      </w:r>
      <w:r w:rsidRPr="00273B16">
        <w:rPr>
          <w:i/>
        </w:rPr>
        <w:t>kształtu i sformułowania</w:t>
      </w:r>
      <w:r>
        <w:t xml:space="preserve"> DGVL oraz jego wyraźnej gotowości do translacji pomiarowej. Uważam to pozycjonowanie za uzasadnione: nowość nie polega na tym, że „wartość publiczna ma znaczenie” (to jest już ustalone), lecz na tym, że autor dostarcza uporządkowany model logiki, przeznaczony do ukierunkowania projektowania instrumentów benchmarkingowych, w tym identyfikacji punktów generowania wartości i procesów generowania wartości oraz interpretacji obserwowanych „nieefektywności” w generowaniu wartości przez DG.</w:t>
      </w:r>
    </w:p>
    <w:p w:rsidR="00032D3B" w:rsidRDefault="00032D3B" w:rsidP="00032D3B"/>
    <w:p w:rsidR="00032D3B" w:rsidRPr="00273B16" w:rsidRDefault="00032D3B" w:rsidP="00032D3B">
      <w:pPr>
        <w:rPr>
          <w:b/>
        </w:rPr>
      </w:pPr>
      <w:r w:rsidRPr="00273B16">
        <w:rPr>
          <w:b/>
        </w:rPr>
        <w:t>1.2. Przewodnik metodologiczny DGVLB jako wkład naukowy</w:t>
      </w:r>
    </w:p>
    <w:p w:rsidR="00032D3B" w:rsidRDefault="00032D3B" w:rsidP="00032D3B"/>
    <w:p w:rsidR="00032D3B" w:rsidRDefault="00032D3B" w:rsidP="00032D3B">
      <w:r>
        <w:t>Poza warstwą konceptualną rozprawa wnosi także ścieżkę typu „how-to”: model benchmarkingowy oparty na DGVL (DGVLB) oraz jego etapowy rozwój w czterech badaniach. Jest to znaczący wkład, ponieważ wiele badań z zakresu DG ma albo charakter konceptualny bez operacjonalizacji, albo empiryczny bez dostatecznie jawnego rusztowania pojęciowego. W tym przypadku autor stara się wypełnić tę lukę, określając:</w:t>
      </w:r>
    </w:p>
    <w:p w:rsidR="00032D3B" w:rsidRDefault="00032D3B" w:rsidP="00032D3B">
      <w:r>
        <w:t>• jak wybierać i oceniać istniejące projekty DGB (Project Study),</w:t>
      </w:r>
    </w:p>
    <w:p w:rsidR="00032D3B" w:rsidRDefault="00032D3B" w:rsidP="00032D3B">
      <w:r>
        <w:t>• jak wyodrębniać interpretowalne „pakiety konceptualne” ze zbiorów wskaźników za pomocą FCA (Concept Study),</w:t>
      </w:r>
    </w:p>
    <w:p w:rsidR="00032D3B" w:rsidRDefault="00032D3B" w:rsidP="00032D3B">
      <w:r>
        <w:lastRenderedPageBreak/>
        <w:t>• jak operacjonalizować efektywność generowania wartości za pomocą DEA i powiązanych narzędzi diagnostycznych (Method Study),</w:t>
      </w:r>
    </w:p>
    <w:p w:rsidR="00032D3B" w:rsidRDefault="00032D3B" w:rsidP="00032D3B">
      <w:r>
        <w:t>• oraz jak urzeczywistnić to w analizie pilotażowej uznanych problemów DG wyrażonych jako procesy zachodzące między komponentami (Pilot Study).</w:t>
      </w:r>
    </w:p>
    <w:p w:rsidR="00032D3B" w:rsidRDefault="00032D3B" w:rsidP="00032D3B"/>
    <w:p w:rsidR="00032D3B" w:rsidRDefault="00032D3B" w:rsidP="00032D3B">
      <w:r>
        <w:t>To etapowe podejście jest, moim zdaniem, jedną z najmocniejszych cech rozprawy: zapewnia replikowalny projekt badawczy, który inni badacze mogą adaptować lub poddawać konstruktywnej krytyce.</w:t>
      </w:r>
    </w:p>
    <w:p w:rsidR="00032D3B" w:rsidRDefault="00032D3B" w:rsidP="00032D3B"/>
    <w:p w:rsidR="00032D3B" w:rsidRPr="00273B16" w:rsidRDefault="00032D3B" w:rsidP="00032D3B">
      <w:pPr>
        <w:rPr>
          <w:b/>
          <w:sz w:val="28"/>
          <w:szCs w:val="28"/>
        </w:rPr>
      </w:pPr>
      <w:r w:rsidRPr="00273B16">
        <w:rPr>
          <w:b/>
          <w:sz w:val="28"/>
          <w:szCs w:val="28"/>
        </w:rPr>
        <w:t>2. Określenie celów i sposób ich realizacji</w:t>
      </w:r>
    </w:p>
    <w:p w:rsidR="00032D3B" w:rsidRDefault="00032D3B" w:rsidP="00032D3B"/>
    <w:p w:rsidR="00032D3B" w:rsidRDefault="00032D3B" w:rsidP="00032D3B">
      <w:r>
        <w:t>Rozprawa definiuje swój główny cel jako wprowadzenie ramy konceptualnej i metodologicznej, pozycjonującej DGVL jako podstawę bardziej adekwatnego DGB, oraz wykazanie jej praktycznej użyteczności. Cztery cele badawcze (RO1–RO4) zostały jasno sformułowane w tabeli 1.1 i są logicznie uporządkowane: od integracji, przez rozszerzenie, po przewodnik metodologiczny i demonstrację wykonalności.</w:t>
      </w:r>
    </w:p>
    <w:p w:rsidR="00032D3B" w:rsidRDefault="00032D3B" w:rsidP="00032D3B"/>
    <w:p w:rsidR="00032D3B" w:rsidRDefault="00032D3B" w:rsidP="00032D3B">
      <w:r>
        <w:t>Istotną zaletą jest to, że cele nie są traktowane jedynie deklaratywnie: struktura rozprawy oraz etapowy rozwój DGVLB nadają im wymiar operacyjny. W szczególności:</w:t>
      </w:r>
    </w:p>
    <w:p w:rsidR="00032D3B" w:rsidRDefault="00032D3B" w:rsidP="00032D3B">
      <w:r>
        <w:t>• RO1 (integracja rozproszonych idei) jest realizowany poprzez rozwój ramy konceptualnej oraz syntezę literatury łączącej DG, wartość publiczną i krytykę benchmarkingu.</w:t>
      </w:r>
    </w:p>
    <w:p w:rsidR="00032D3B" w:rsidRDefault="00032D3B" w:rsidP="00032D3B">
      <w:r>
        <w:t>• RO2 (rozszerzenie obecnych podejść DGB) jest realizowany poprzez krytykę konwencjonalnych instrumentów i argumentację na rzecz dostosowania ich do logiki generowania wartości, w tym decyzję, by traktować istniejące instrumenty jako „produkty pośrednie, a nie końcowe”.</w:t>
      </w:r>
    </w:p>
    <w:p w:rsidR="00032D3B" w:rsidRDefault="00032D3B" w:rsidP="00032D3B">
      <w:r>
        <w:t>• RO3 (przewodnik metodologiczny/zestaw narzędzi) jest realizowany poprzez sekwencję metodologiczną: pozyskiwanie danych, pakietowanie pojęć, specyfikację DEA, efektywność krzyżową oraz diagnostykę wyników.</w:t>
      </w:r>
    </w:p>
    <w:p w:rsidR="00032D3B" w:rsidRDefault="00032D3B" w:rsidP="00032D3B">
      <w:r>
        <w:t>• RO4 (wykonalność i zdolność do podejmowania istotnych problemów) jest realizowany poprzez analizę pilotażową pięciu procesów przyporządkowanych problemom polityki publicznej i zarządzania.</w:t>
      </w:r>
    </w:p>
    <w:p w:rsidR="00032D3B" w:rsidRDefault="00032D3B" w:rsidP="00032D3B"/>
    <w:p w:rsidR="00032D3B" w:rsidRDefault="00032D3B" w:rsidP="00032D3B">
      <w:r>
        <w:t>Rozprawa określa również swoje szersze pozycjonowanie jako badań podstawowych inspirowanych zastosowaniem („kwadrant Pasteura”) i opisuje swoje rozumowanie jako abdukcyjne, w którym wyniki jednego etapu kształtują kolejne stanowiska konceptualne. Jest to odpowiednia postawa filozoficzna dla rozprawy, która zmierza do zbudowania instrumentu konceptualno-metodologicznego, a jednocześnie osadza go w empirycznej wykonalności i rzeczywistych ograniczeniach benchmarkingu.</w:t>
      </w:r>
    </w:p>
    <w:p w:rsidR="00032D3B" w:rsidRDefault="00032D3B" w:rsidP="00032D3B"/>
    <w:p w:rsidR="00032D3B" w:rsidRPr="004C229C" w:rsidRDefault="00032D3B" w:rsidP="00032D3B">
      <w:pPr>
        <w:rPr>
          <w:b/>
          <w:sz w:val="28"/>
          <w:szCs w:val="28"/>
        </w:rPr>
      </w:pPr>
      <w:r w:rsidRPr="004C229C">
        <w:rPr>
          <w:b/>
          <w:sz w:val="28"/>
          <w:szCs w:val="28"/>
        </w:rPr>
        <w:t>3. Rama teoretyczna i tło badań</w:t>
      </w:r>
    </w:p>
    <w:p w:rsidR="00032D3B" w:rsidRDefault="00032D3B" w:rsidP="00032D3B"/>
    <w:p w:rsidR="00032D3B" w:rsidRPr="004C229C" w:rsidRDefault="00032D3B" w:rsidP="00032D3B">
      <w:pPr>
        <w:rPr>
          <w:b/>
        </w:rPr>
      </w:pPr>
      <w:r w:rsidRPr="004C229C">
        <w:rPr>
          <w:b/>
        </w:rPr>
        <w:t xml:space="preserve">3.1. Definicje </w:t>
      </w:r>
      <w:r w:rsidR="004C229C">
        <w:rPr>
          <w:b/>
        </w:rPr>
        <w:t>za</w:t>
      </w:r>
      <w:r w:rsidRPr="004C229C">
        <w:rPr>
          <w:b/>
        </w:rPr>
        <w:t>rządu cyfrowego i klarowność pojęciowa</w:t>
      </w:r>
    </w:p>
    <w:p w:rsidR="00032D3B" w:rsidRDefault="00032D3B" w:rsidP="00032D3B"/>
    <w:p w:rsidR="00032D3B" w:rsidRDefault="00032D3B" w:rsidP="00032D3B">
      <w:r>
        <w:t xml:space="preserve">Rozprawa słusznie odnotowuje pluralizm definicyjny w obszarze DG i przedstawia przyjętą definicję, zgodną z tworzeniem wartości publicznej (a nie jedynie z cyfryzacją świadczenia usług). Ma to znaczenie, ponieważ logika generowania wartości wymaga jasności co do tego, co uznaje się za „DG” i co uznaje się za „wartość”. Rozprawa pozycjonuje e-government i </w:t>
      </w:r>
      <w:r>
        <w:lastRenderedPageBreak/>
        <w:t>digital government jako pojęcia powiązane, lecz odrębne, przywołując ujęcie OECD, zgodnie z którym DG oznacza wykorzystanie technologii cyfrowych jako elementu strategii modernizacyjnych służących tworzeniu wartości publicznej.</w:t>
      </w:r>
    </w:p>
    <w:p w:rsidR="00032D3B" w:rsidRDefault="00032D3B" w:rsidP="00032D3B"/>
    <w:p w:rsidR="00032D3B" w:rsidRDefault="00032D3B" w:rsidP="00032D3B">
      <w:r>
        <w:t xml:space="preserve">To osadzenie konceptualne jest wystarczające, a </w:t>
      </w:r>
      <w:r w:rsidR="004C229C">
        <w:t xml:space="preserve">na </w:t>
      </w:r>
      <w:r>
        <w:t>szczególne doceni</w:t>
      </w:r>
      <w:r w:rsidR="004C229C">
        <w:t>enie zasługuje</w:t>
      </w:r>
      <w:r>
        <w:t xml:space="preserve"> fakt, że autor odnosi się do spójności terminologicznej (używając terminu „Digital Government” nawet przy cytowaniu źródeł posługujących się określeniem „E-Government”, dla zachowania przejrzystości). Należy jednak zauważyć, że każda rama konceptualna, która ma prowadzić do translacji pomiarowej, musi zachowywać czujność wobec dryfu definicyjnego: im więcej komponentów i procesów zostaje wprowadzonych, tym ważniejsze staje się zachowanie spójności wewnętrznej między znaczeniem pojęciowym a operacjonalizacją wskaźnikową.</w:t>
      </w:r>
    </w:p>
    <w:p w:rsidR="00032D3B" w:rsidRDefault="00032D3B" w:rsidP="00032D3B"/>
    <w:p w:rsidR="00032D3B" w:rsidRPr="004C229C" w:rsidRDefault="00032D3B" w:rsidP="00032D3B">
      <w:pPr>
        <w:rPr>
          <w:b/>
        </w:rPr>
      </w:pPr>
      <w:r w:rsidRPr="004C229C">
        <w:rPr>
          <w:b/>
        </w:rPr>
        <w:t>3.2. Wartość publiczna jako rdzeń normatywny</w:t>
      </w:r>
    </w:p>
    <w:p w:rsidR="00032D3B" w:rsidRDefault="00032D3B" w:rsidP="00032D3B"/>
    <w:p w:rsidR="00032D3B" w:rsidRDefault="00032D3B" w:rsidP="00032D3B">
      <w:r>
        <w:t>Rozprawa zakotwicza swoją ramę w literaturze dotyczącej wartości publicznej (cytując między innymi perspektywę inwentarzową oraz dyskurs o wartości publicznej w DG). Dobór procesów w pilotażu odwołuje się do katalogu wartości publicznych Twizeyimany i Anderssona (2019), przypisując procesy takim wartościom, jak poprawa usług publicznych, efektywność administracyjna, zaufanie, zdolności otwartego rządu, demokracja i dobrostan społeczny. Jest to rozsądne podejście: sprawia ono, że wartość publiczna jest wyrażona explicite, a nie jedynie implikowana.</w:t>
      </w:r>
    </w:p>
    <w:p w:rsidR="00032D3B" w:rsidRDefault="00032D3B" w:rsidP="00032D3B"/>
    <w:p w:rsidR="00032D3B" w:rsidRDefault="00032D3B" w:rsidP="00032D3B">
      <w:r>
        <w:t>Jednym z wyzwań teoretycznych — typowym dla badań nad wartością publiczną — jest to, że wartość publiczna może stać się pojęciem tak szerokim, iż grozi to jej analitycznym rozmyciem. Rozprawa ogranicza to ryzyko poprzez operacjonalizację generowania wartości za pomocą efektywności procesów zachodzących między komponentami i rezultatami, zamiast rościć sobie pretensję do „pomiaru wartości publicznej” bezpośrednio w sensie abstrakcyjnym. Włączenie wskaźników IMPACT (za pośrednictwem mierników zarządzania/demokracji B-SGI) stanowi praktyczną próbę przybliżenia rezultatów wyższego rzędu.</w:t>
      </w:r>
    </w:p>
    <w:p w:rsidR="00032D3B" w:rsidRDefault="00032D3B" w:rsidP="00032D3B"/>
    <w:p w:rsidR="00032D3B" w:rsidRPr="005C495D" w:rsidRDefault="00032D3B" w:rsidP="00032D3B">
      <w:pPr>
        <w:rPr>
          <w:b/>
        </w:rPr>
      </w:pPr>
      <w:r w:rsidRPr="005C495D">
        <w:rPr>
          <w:b/>
        </w:rPr>
        <w:t>3.3. Teoria benchmarkingu i krytyka istniejących instrumentów</w:t>
      </w:r>
    </w:p>
    <w:p w:rsidR="00032D3B" w:rsidRDefault="00032D3B" w:rsidP="00032D3B"/>
    <w:p w:rsidR="00032D3B" w:rsidRDefault="00032D3B" w:rsidP="00032D3B">
      <w:r>
        <w:t>Diagnoza zawarta w rozprawie — że główne projekty DGB często dostarczają statycznych, przekrojowych migawek, nie są wyraźnie ukierunkowane na logikę generowania wartości, a zatem dostarczają ograniczonej informacji zwrotnej użytecznej operacyjnie — jest dobrze uzasadniona. Jest ona również zgodna z szerszą krytyką ewaluacji i zarządzania wynikami: wskaźniki często odzwierciedlają to, co łatwo zebrać, instytucje dziedziczą rozwiązania projektowe z przeszłości, a bodźce rankingowe mogą zniekształcać priorytety pomiarowe.</w:t>
      </w:r>
    </w:p>
    <w:p w:rsidR="00032D3B" w:rsidRDefault="00032D3B" w:rsidP="00032D3B"/>
    <w:p w:rsidR="00032D3B" w:rsidRDefault="00032D3B" w:rsidP="00032D3B">
      <w:r>
        <w:t>Decyzja autora w badaniu 1 o analizie pięciu głównych inicjatyw DGB (EU-EGB, UN-EGS, OECD-DGI, WB-GTMI, WU-IDGR) została trafnie podjęta z punktu widzenia relewancji, a wyeliminowanie UN-EGS i WU-IDGR z dalszej ścieżki rozwoju modelu zostało uzasadnione kryteriami spójności konceptualnej, realizacji technicznej i znaczenia dla UE. (Niżej omawiam, w jaki sposób tę decyzję można by jeszcze wzmocnić poprzez wyraźną argumentację dotyczącą wrażliwości lub dyskusję nad trafnością zewnętrzną).</w:t>
      </w:r>
    </w:p>
    <w:p w:rsidR="00032D3B" w:rsidRDefault="00032D3B" w:rsidP="00032D3B"/>
    <w:p w:rsidR="00032D3B" w:rsidRPr="005C495D" w:rsidRDefault="00032D3B" w:rsidP="00032D3B">
      <w:pPr>
        <w:rPr>
          <w:b/>
        </w:rPr>
      </w:pPr>
      <w:r w:rsidRPr="005C495D">
        <w:rPr>
          <w:b/>
        </w:rPr>
        <w:t>3.4. DGVL jako synteza logiki procesu i logiki systemu</w:t>
      </w:r>
    </w:p>
    <w:p w:rsidR="00032D3B" w:rsidRDefault="00032D3B" w:rsidP="00032D3B"/>
    <w:p w:rsidR="00032D3B" w:rsidRDefault="00032D3B" w:rsidP="00032D3B">
      <w:r>
        <w:t>Koncepcyjny zabieg polegający na połączeniu logiki procesu (operacji wspomaganych technologią) i logiki systemu (interakcji między komponentami) w perspektywie generowania wartości jest teoretycznie trafny i — co kluczowe — użyteczny z punktu widzenia projektowania benchmarkingu. Autor wyraźnie wskazuje, że pewne wcześniejsze konceptualizacje integrują te perspektywy (np. łańcuch wartości DG, system aktywności wartości DG), pozycjonując DGVL w tej rodzinie ujęć, ale dążąc do stworzenia platformy konceptualnej bardziej gotowej do pomiaru.</w:t>
      </w:r>
    </w:p>
    <w:p w:rsidR="00032D3B" w:rsidRDefault="00032D3B" w:rsidP="00032D3B"/>
    <w:p w:rsidR="00032D3B" w:rsidRPr="005C495D" w:rsidRDefault="00032D3B" w:rsidP="00032D3B">
      <w:pPr>
        <w:rPr>
          <w:b/>
          <w:sz w:val="28"/>
          <w:szCs w:val="28"/>
        </w:rPr>
      </w:pPr>
      <w:r w:rsidRPr="005C495D">
        <w:rPr>
          <w:b/>
          <w:sz w:val="28"/>
          <w:szCs w:val="28"/>
        </w:rPr>
        <w:t>4. Metodologia i projekt badawczy</w:t>
      </w:r>
    </w:p>
    <w:p w:rsidR="00032D3B" w:rsidRDefault="00032D3B" w:rsidP="00032D3B"/>
    <w:p w:rsidR="00032D3B" w:rsidRDefault="00032D3B" w:rsidP="00032D3B">
      <w:r>
        <w:t xml:space="preserve">Rozprawa przyjmuje podejście mieszane (jakościowe i ilościowe) oraz rozumowanie abdukcyjne w ramach etapowego procesu, w którym każdy etap informuje kolejny. Jest to </w:t>
      </w:r>
      <w:r w:rsidR="005C495D">
        <w:t xml:space="preserve">podejście </w:t>
      </w:r>
      <w:r>
        <w:t>dobrze dopasowane do natury problemu badawczego: badanie wyłącznie ilościowe miałoby trudność z uzasadnieniem doboru wskaźników i struktury pojęciowej, zaś badanie wyłącznie jakościowe miałoby trudność z wykazaniem wykonalności i wartości analitycznej.</w:t>
      </w:r>
    </w:p>
    <w:p w:rsidR="00032D3B" w:rsidRDefault="00032D3B" w:rsidP="00032D3B"/>
    <w:p w:rsidR="00032D3B" w:rsidRPr="005C495D" w:rsidRDefault="00032D3B" w:rsidP="00032D3B">
      <w:pPr>
        <w:rPr>
          <w:b/>
        </w:rPr>
      </w:pPr>
      <w:r w:rsidRPr="005C495D">
        <w:rPr>
          <w:b/>
        </w:rPr>
        <w:t>4.1. Study 1: Project Study</w:t>
      </w:r>
    </w:p>
    <w:p w:rsidR="00032D3B" w:rsidRDefault="00032D3B" w:rsidP="00032D3B"/>
    <w:p w:rsidR="00032D3B" w:rsidRDefault="00032D3B" w:rsidP="00032D3B">
      <w:r>
        <w:t>W badaniu 1 autor przeprowadza jakościową analizę pięciu projektów DGB i stosuje kryteria dotyczące spójności konceptualnej, realizacji technicznej i znaczenia dla UE. Jest to trafny wybór projektowy: DGVLB wyraźnie opiera się na ponownym wykorzystaniu istniejących instrumentów jako źródeł danych, dlatego jakość i adekwatność tych instrumentów muszą zostać ocenione na wstępie.</w:t>
      </w:r>
    </w:p>
    <w:p w:rsidR="00032D3B" w:rsidRDefault="00032D3B" w:rsidP="00032D3B"/>
    <w:p w:rsidR="00032D3B" w:rsidRDefault="00032D3B" w:rsidP="00032D3B">
      <w:r>
        <w:t>Warto podkreślić metodologicznie, że ocena ta nie ma charakteru wyłącznie opisowego; pełni ona funkcję mechanizmu selekcyjnego, który kształtuje to, jakie „komponenty DG” będą mogły zostać później zoperacjonalizowane. Jest to zarazem zaleta (pragmatyzm, wykonalność), jak i ograniczenie (zależność od instrumentów). Autor w sposób przejrzysty ujawnia ten kompromis.</w:t>
      </w:r>
    </w:p>
    <w:p w:rsidR="00032D3B" w:rsidRDefault="00032D3B" w:rsidP="00032D3B"/>
    <w:p w:rsidR="00032D3B" w:rsidRPr="00534981" w:rsidRDefault="00032D3B" w:rsidP="00032D3B">
      <w:pPr>
        <w:rPr>
          <w:b/>
        </w:rPr>
      </w:pPr>
      <w:r w:rsidRPr="00534981">
        <w:rPr>
          <w:b/>
        </w:rPr>
        <w:t>4.2. Study 2: Concept Study</w:t>
      </w:r>
    </w:p>
    <w:p w:rsidR="00032D3B" w:rsidRDefault="00032D3B" w:rsidP="00032D3B"/>
    <w:p w:rsidR="00032D3B" w:rsidRDefault="00032D3B" w:rsidP="00032D3B">
      <w:r>
        <w:t>Zastosowanie FCA do wyodrębnienia „pakietów konceptualnych” ze zbiorów wskaźników jest twórczą i dającą się obronić decyzją metodologiczną. FCA ma tę zaletę, że jest matematycznie ugruntowana jako metoda odkrywania pojęć formalnych na podstawie oznaczonych atrybutów, i może pomóc uniknąć klastrowania opartego wyłącznie na intuicji. Wynik — pięć pakietów (fundament, technologia, dane, usługi, orientacja obywatelska) — jest interpretowalny i zgodny z powszechnymi kategoriami komponentów DG.</w:t>
      </w:r>
    </w:p>
    <w:p w:rsidR="00032D3B" w:rsidRDefault="00032D3B" w:rsidP="00032D3B"/>
    <w:p w:rsidR="00032D3B" w:rsidRDefault="00032D3B" w:rsidP="00032D3B">
      <w:r>
        <w:t xml:space="preserve">Niemniej rezultaty FCA w dużym stopniu zależą od jakości tagowania oraz od początkowego projektu mapowania wskaźników i atrybutów. Rozprawa zawiera wspierające tabele (ekstrakcja słów kluczowych, pokrycie tagów, zredukowany kontekst, zachowane pojęcia) w rozdziale 4. Z perspektywy rygoru doktoranckiego jest to właściwe, zachęcałbym jednak </w:t>
      </w:r>
      <w:r>
        <w:lastRenderedPageBreak/>
        <w:t xml:space="preserve">autora do wyraźnego określenia statusu epistemicznego tych pakietów: są to pojęcia formalne wyprowadzone z wybranego uniwersum wskaźników, a niekoniecznie „prawdziwe” ontologiczne podziały </w:t>
      </w:r>
      <w:r w:rsidR="00534981">
        <w:t>za</w:t>
      </w:r>
      <w:r>
        <w:t>rządu cyfrowego. Nie jest to wada; jest to po prostu poprawna interpretacja. Jej wyraźne zaznaczenie wzmacnia rzetelność naukową i zapobiega nadmiernym roszczeniom.</w:t>
      </w:r>
    </w:p>
    <w:p w:rsidR="00032D3B" w:rsidRDefault="00032D3B" w:rsidP="00032D3B"/>
    <w:p w:rsidR="00032D3B" w:rsidRPr="00534981" w:rsidRDefault="00032D3B" w:rsidP="00032D3B">
      <w:pPr>
        <w:rPr>
          <w:b/>
        </w:rPr>
      </w:pPr>
      <w:r w:rsidRPr="00534981">
        <w:rPr>
          <w:b/>
        </w:rPr>
        <w:t>4.3. Study 3: Method Study</w:t>
      </w:r>
    </w:p>
    <w:p w:rsidR="00032D3B" w:rsidRDefault="00032D3B" w:rsidP="00032D3B"/>
    <w:p w:rsidR="00032D3B" w:rsidRDefault="00032D3B" w:rsidP="00032D3B">
      <w:r>
        <w:t>Rdzeń operacyjny DGVLB stanowi wykorzystanie DEA do modelowania „względnej efektywności technicznej” przekształcania nakładów w wyniki w ramach procesów generowania wartości przez DG. DEA jest odpowiednia wtedy, gdy (i) istnieje wiele nakładów i wyników, (ii) celem jest efektywność względna, oraz (iii) postacie funkcyjne są nieznane lub nie są zakładane. W rozprawie zastosowano standardowe warianty (CCR z orientacją na wyniki; BCC z orientacją na nakłady i na wyniki) oraz wyjaśniono, dlaczego pominięto CCR z orientacją na nakłady (dający identyczne wyniki jak CCR z orientacją na wyniki).</w:t>
      </w:r>
    </w:p>
    <w:p w:rsidR="00032D3B" w:rsidRDefault="00032D3B" w:rsidP="00032D3B"/>
    <w:p w:rsidR="00032D3B" w:rsidRDefault="00032D3B" w:rsidP="00032D3B">
      <w:r>
        <w:t xml:space="preserve">Szczególnie dobrą decyzją metodologiczną jest uwzględnienie </w:t>
      </w:r>
      <w:r w:rsidRPr="00534981">
        <w:rPr>
          <w:b/>
        </w:rPr>
        <w:t>efektywności krzyżowej</w:t>
      </w:r>
      <w:r>
        <w:t xml:space="preserve"> w celu ograniczenia stronniczości samooceny w DEA i zwiększenia mocy różnicującej wtedy, gdy wiele jednostek decyzyjnych (DMU) okazuje się efektywnych przy własnym doborze wag. Autor oblicza efektywność krzyżową przy użyciu neutralnej („arbitralnej”) metody, a nie schematów życzliwych lub agresywnych, co można uznać za uzasadnione w przypadku instrumentu benchmarkingowego ukierunkowanego na neutralność.</w:t>
      </w:r>
    </w:p>
    <w:p w:rsidR="00032D3B" w:rsidRDefault="00032D3B" w:rsidP="00032D3B"/>
    <w:p w:rsidR="00032D3B" w:rsidRDefault="00032D3B" w:rsidP="00032D3B">
      <w:r>
        <w:t>Co więcej, rozprawa nie poprzestaje na wynikach efektywności; generuje bogatszy pakiet diagnostyczny: projekcyjne wartości docelowe, zbiory odniesienia, macierze najlepszych praktyk. Jest to istotne, ponieważ same wyniki efektywności mogą być zbyt abstrakcyjne dla zastosowań politycznych. Macierz najlepszych praktyk dla F2T stanowi konkretny przykład tego, jak partnerzy mogą być interpretowani jako mentorzy oraz w jakim „tempie” jednostki nieefektywne mogłyby uczyć się od jednostek efektywnych.</w:t>
      </w:r>
    </w:p>
    <w:p w:rsidR="00032D3B" w:rsidRDefault="00032D3B" w:rsidP="00032D3B"/>
    <w:p w:rsidR="00032D3B" w:rsidRPr="00534981" w:rsidRDefault="00032D3B" w:rsidP="00032D3B">
      <w:pPr>
        <w:rPr>
          <w:b/>
        </w:rPr>
      </w:pPr>
      <w:r w:rsidRPr="00534981">
        <w:rPr>
          <w:b/>
        </w:rPr>
        <w:t>4.4. Study 4: Pilot Study</w:t>
      </w:r>
    </w:p>
    <w:p w:rsidR="00032D3B" w:rsidRDefault="00032D3B" w:rsidP="00032D3B"/>
    <w:p w:rsidR="00032D3B" w:rsidRDefault="00032D3B" w:rsidP="00032D3B">
      <w:r>
        <w:t>Badanie pilotażowe jest wyraźnie przedstawione jako demonstracja, a nie jako pełna ocena DG w UE. Z naukowego punktu widzenia jest to właściwe; pozwala uniknąć częstej pułapki nadinterpretacji wyników pilotażu.</w:t>
      </w:r>
    </w:p>
    <w:p w:rsidR="00032D3B" w:rsidRDefault="00032D3B" w:rsidP="00032D3B"/>
    <w:p w:rsidR="00032D3B" w:rsidRDefault="00032D3B" w:rsidP="00032D3B">
      <w:r>
        <w:t>Pilotaż wykorzystuje wiele źródeł danych, obarczonych częściową niespójnością czasową i problemami z pokryciem: EU-EGB (średnia z lat 2021–2022), OECD-DGI (wyniki z 2023 r. oparte na zbieraniu danych z lat 2020–2022), WB-GTMI (aktualizacja z 2022 r.), B-SGI impact (wydanie z 2022 r.), Eurostat usage (2021). Rozprawa wyjaśnia te ograniczenia i dokumentuje je w tabeli 4.15. Harmonizacja danych obejmuje przekształcenie wartości do skali 0–100 oraz uzupełnienie brakujących wartości OECD-DGI dla Niemiec i Grecji przez korektę medianową różnicy między wydaniami.</w:t>
      </w:r>
    </w:p>
    <w:p w:rsidR="00032D3B" w:rsidRDefault="00032D3B" w:rsidP="00032D3B"/>
    <w:p w:rsidR="00032D3B" w:rsidRPr="00032D3B" w:rsidRDefault="00032D3B" w:rsidP="00032D3B">
      <w:pPr>
        <w:rPr>
          <w:lang w:val="en-US"/>
        </w:rPr>
      </w:pPr>
      <w:r>
        <w:t xml:space="preserve">Dobór procesów opiera się na: (i) ich rozpoznaniu w literaturze, (ii) dopasowaniu do kategorii wartości publicznej, (iii) możliwości przypisania komponentów wejściowych i wyjściowych. </w:t>
      </w:r>
      <w:r w:rsidRPr="00032D3B">
        <w:rPr>
          <w:lang w:val="en-US"/>
        </w:rPr>
        <w:t>Wybrano pięć procesów:</w:t>
      </w:r>
    </w:p>
    <w:p w:rsidR="00032D3B" w:rsidRPr="00032D3B" w:rsidRDefault="00032D3B" w:rsidP="00032D3B">
      <w:pPr>
        <w:rPr>
          <w:lang w:val="en-US"/>
        </w:rPr>
      </w:pPr>
      <w:r w:rsidRPr="00032D3B">
        <w:rPr>
          <w:lang w:val="en-US"/>
        </w:rPr>
        <w:lastRenderedPageBreak/>
        <w:t>• FOUNDATION to TECHNOLOGY (F2T)</w:t>
      </w:r>
    </w:p>
    <w:p w:rsidR="00032D3B" w:rsidRPr="00032D3B" w:rsidRDefault="00032D3B" w:rsidP="00032D3B">
      <w:pPr>
        <w:rPr>
          <w:lang w:val="en-US"/>
        </w:rPr>
      </w:pPr>
      <w:r w:rsidRPr="00032D3B">
        <w:rPr>
          <w:lang w:val="en-US"/>
        </w:rPr>
        <w:t>• DATA to SERVICE (D2S)</w:t>
      </w:r>
    </w:p>
    <w:p w:rsidR="00032D3B" w:rsidRPr="00032D3B" w:rsidRDefault="00032D3B" w:rsidP="00032D3B">
      <w:pPr>
        <w:rPr>
          <w:lang w:val="en-US"/>
        </w:rPr>
      </w:pPr>
      <w:r w:rsidRPr="00032D3B">
        <w:rPr>
          <w:lang w:val="en-US"/>
        </w:rPr>
        <w:t>• TECHNOLOGY to GOVERNANCE/POLICY (T2GP)</w:t>
      </w:r>
    </w:p>
    <w:p w:rsidR="00032D3B" w:rsidRPr="00032D3B" w:rsidRDefault="00032D3B" w:rsidP="00032D3B">
      <w:pPr>
        <w:rPr>
          <w:lang w:val="en-US"/>
        </w:rPr>
      </w:pPr>
      <w:r w:rsidRPr="00032D3B">
        <w:rPr>
          <w:lang w:val="en-US"/>
        </w:rPr>
        <w:t>• SERVICE to USAGE (S2U)</w:t>
      </w:r>
    </w:p>
    <w:p w:rsidR="00032D3B" w:rsidRPr="00032D3B" w:rsidRDefault="00032D3B" w:rsidP="00032D3B">
      <w:pPr>
        <w:rPr>
          <w:lang w:val="en-US"/>
        </w:rPr>
      </w:pPr>
      <w:r w:rsidRPr="00032D3B">
        <w:rPr>
          <w:lang w:val="en-US"/>
        </w:rPr>
        <w:t>• CITIZEN to DEMOCRACY (C2D)</w:t>
      </w:r>
    </w:p>
    <w:p w:rsidR="00032D3B" w:rsidRPr="00032D3B" w:rsidRDefault="00032D3B" w:rsidP="00032D3B">
      <w:pPr>
        <w:rPr>
          <w:lang w:val="en-US"/>
        </w:rPr>
      </w:pPr>
    </w:p>
    <w:p w:rsidR="00032D3B" w:rsidRDefault="00032D3B" w:rsidP="00032D3B">
      <w:r>
        <w:t xml:space="preserve">Zestaw ten jest spójny koncepcyjnie i obejmuje zarówno warunki umożliwiające, jak i rezultaty wyższego rzędu. Co ważne, ujawnia on również obszary, w których instrument benchmarkingowy może napotkać najtrudniejsze problemy atrybucji (zwłaszcza T2GP i C2D), </w:t>
      </w:r>
      <w:r w:rsidR="00AC7224">
        <w:t>gdzie</w:t>
      </w:r>
      <w:r>
        <w:t xml:space="preserve"> rozprawa powinna </w:t>
      </w:r>
      <w:r w:rsidR="00AC7224">
        <w:t>zachować</w:t>
      </w:r>
      <w:r>
        <w:t xml:space="preserve"> szczególną ostrożność (zob. punkt 5 niniejszej recenzji).</w:t>
      </w:r>
    </w:p>
    <w:p w:rsidR="00032D3B" w:rsidRDefault="00032D3B" w:rsidP="00032D3B"/>
    <w:p w:rsidR="00032D3B" w:rsidRPr="00AC7224" w:rsidRDefault="00032D3B" w:rsidP="00032D3B">
      <w:pPr>
        <w:rPr>
          <w:b/>
          <w:sz w:val="28"/>
          <w:szCs w:val="28"/>
        </w:rPr>
      </w:pPr>
      <w:r w:rsidRPr="00AC7224">
        <w:rPr>
          <w:b/>
          <w:sz w:val="28"/>
          <w:szCs w:val="28"/>
        </w:rPr>
        <w:t>5. Znaczenie wyników, dyskusja i wnioski</w:t>
      </w:r>
    </w:p>
    <w:p w:rsidR="00032D3B" w:rsidRDefault="00032D3B" w:rsidP="00032D3B"/>
    <w:p w:rsidR="00032D3B" w:rsidRPr="00AC7224" w:rsidRDefault="00032D3B" w:rsidP="00032D3B">
      <w:pPr>
        <w:rPr>
          <w:b/>
        </w:rPr>
      </w:pPr>
      <w:r w:rsidRPr="00AC7224">
        <w:rPr>
          <w:b/>
        </w:rPr>
        <w:t>5.1. Co pokazują wyniki pilotażu</w:t>
      </w:r>
    </w:p>
    <w:p w:rsidR="00032D3B" w:rsidRDefault="00032D3B" w:rsidP="00032D3B"/>
    <w:p w:rsidR="00032D3B" w:rsidRDefault="00032D3B" w:rsidP="00032D3B">
      <w:r>
        <w:t>Część wynikowa przedstawia wyniki efektywności DEA według krajów i procesów, porównując warianty CCR-O, BCC-I i BCC-O. Zawiera również zestawienia efektywności krzyżowej z wartościami dla poszczególnych procesów oraz średnimi wartościami efektywności krzyżowej, co jest pomocne interpretacyjnie.</w:t>
      </w:r>
    </w:p>
    <w:p w:rsidR="00032D3B" w:rsidRDefault="00032D3B" w:rsidP="00032D3B"/>
    <w:p w:rsidR="00032D3B" w:rsidRDefault="00032D3B" w:rsidP="00032D3B">
      <w:r>
        <w:t>Wyniki te są adekwatne do celu rozprawy: wykazania wykonalności, wygenerowania artefaktów diagnostycznych oraz zilustrowania, w jaki sposób perspektywa generowania wartości zmienia to, co jest „benchmarkowane”. Wyniki pokazują na przykład, że dany kraj może być efektywny w jednym procesie, a relatywnie nieefektywny w innym, co stanowi kluczowy argument przeciw jednowymiarowym rankingom.</w:t>
      </w:r>
    </w:p>
    <w:p w:rsidR="00032D3B" w:rsidRDefault="00032D3B" w:rsidP="00032D3B"/>
    <w:p w:rsidR="00032D3B" w:rsidRDefault="00032D3B" w:rsidP="00032D3B">
      <w:r>
        <w:t>Niemniej — i jest to kluczowe dla rzetelności interpretacyjnej — efektywność DEA nie jest tożsama z wpływem przyczynowym. Jest to pozycja względna wobec empirycznie zaobserwowanej granicy efektywności, przy danych wskaźnikach i założeniach modelu. Autor wydaje się świadomy tego ogólnego problemu, a pilotażowy charakter badania w tym pomaga. Mimo to rozprawa zyskałaby na konsekwentniejszej dyscyplinie językowej w odniesieniu do „efektów” i „wpływu”, zwłaszcza w procesach wyższego rzędu (technologia do zarządzania/polityki; mechanizmy obywatelskie do demokracji), gdzie czynniki zakłócające są liczne, a wyniki zależą od wielu determinant.</w:t>
      </w:r>
    </w:p>
    <w:p w:rsidR="00032D3B" w:rsidRDefault="00032D3B" w:rsidP="00032D3B"/>
    <w:p w:rsidR="00032D3B" w:rsidRPr="00AC7224" w:rsidRDefault="00032D3B" w:rsidP="00032D3B">
      <w:pPr>
        <w:rPr>
          <w:b/>
        </w:rPr>
      </w:pPr>
      <w:r w:rsidRPr="00AC7224">
        <w:rPr>
          <w:b/>
        </w:rPr>
        <w:t>5.2. Ograniczenia i warunki brzegowe</w:t>
      </w:r>
    </w:p>
    <w:p w:rsidR="00032D3B" w:rsidRDefault="00032D3B" w:rsidP="00032D3B"/>
    <w:p w:rsidR="00032D3B" w:rsidRDefault="00032D3B" w:rsidP="00032D3B">
      <w:r>
        <w:t>Rozprawa wspomina o niedoborach danych i ograniczonym zakresie. Dodatkowo chciałbym podkreślić kilka warunków brzegowych, które są immanentne dla tego typu badań:</w:t>
      </w:r>
    </w:p>
    <w:p w:rsidR="00032D3B" w:rsidRDefault="00032D3B" w:rsidP="00032D3B"/>
    <w:p w:rsidR="00032D3B" w:rsidRDefault="00032D3B" w:rsidP="00032D3B">
      <w:r>
        <w:t>1. Endogeniczność wskaźników i kolistość: instrumenty benchmarkingowe często zawierają zmienne zastępcze odzwierciedlające wybory polityczne, zdolność sprawozdawczą lub konstrukcję badań ankietowych, a nie rzeczywiste zdolności DG. DGVLB dziedziczy te ograniczenia, nawet jeśli reorganizuje wskaźniki zgodnie z logiką generowania wartości.</w:t>
      </w:r>
    </w:p>
    <w:p w:rsidR="00032D3B" w:rsidRDefault="00032D3B" w:rsidP="00032D3B">
      <w:r>
        <w:t xml:space="preserve">2. Niezgodność czasowa: łączenie zbiorów danych z lat 2020–2022+ rodzi ryzyko, jeśli szybko zmieniające się obszary (partycypacja cyfrowa, dojrzałość platform) ulegają dynamicznym </w:t>
      </w:r>
      <w:r>
        <w:lastRenderedPageBreak/>
        <w:t>przeobrażeniom. Autor dokumentuje ograniczenia czasowe; ostrożność interpretacyjna powinna odpowiadać tej przejrzystości.</w:t>
      </w:r>
    </w:p>
    <w:p w:rsidR="00032D3B" w:rsidRDefault="00032D3B" w:rsidP="00032D3B">
      <w:r>
        <w:t>3. Wrażliwość granicy efektywności: granice DEA mogą być wrażliwe na dobór zmiennych i skład próby. Rozszerzenie o efektywność krzyżową pomaga, ale rozprawa mogłaby dodatkowo wzmocnić swoją wiarygodność poprzez przedstawienie ograniczonych analiz wrażliwości (np. usunięcie jednego pakietu wskaźników, zmianę założeń dotyczących skalowania lub porównanie z prostymi diagnozami opartymi na regresji).</w:t>
      </w:r>
    </w:p>
    <w:p w:rsidR="00032D3B" w:rsidRDefault="00032D3B" w:rsidP="00032D3B">
      <w:r>
        <w:t>4. Uwarunkowania instytucjonalne i kontekstowe: generowanie wartości zależy od kultury administracyjnej, tradycji prawnej, zdolności fiskalnej, stabilności politycznej i zaufania społecznego. DGVLB może sygnalizować wzorce nieefektywności, lecz nie powinien sugerować, że same mierzone komponenty DG „powodują” wyniki w zakresie zarządzania.</w:t>
      </w:r>
    </w:p>
    <w:p w:rsidR="00032D3B" w:rsidRDefault="00032D3B" w:rsidP="00032D3B"/>
    <w:p w:rsidR="00032D3B" w:rsidRDefault="00032D3B" w:rsidP="00032D3B">
      <w:r>
        <w:t>Trzeba oddać autorowi, że podstawowe twierdzenie rozprawy nie polega na deklarowaniu identyfikacji przyczynowej; chodzi raczej o dostarczenie logiki benchmarkingowej i zestawu narzędzi zgodnych z generowaniem wartości, które dają bardziej użyteczną porównawczo informację zwrotną. Interpretowane w tej perspektywie wyniki są istotne, a ograniczenia — możliwe do zaakceptowania.</w:t>
      </w:r>
    </w:p>
    <w:p w:rsidR="00032D3B" w:rsidRDefault="00032D3B" w:rsidP="00032D3B"/>
    <w:p w:rsidR="00032D3B" w:rsidRPr="00AC7224" w:rsidRDefault="00032D3B" w:rsidP="00032D3B">
      <w:pPr>
        <w:rPr>
          <w:b/>
          <w:sz w:val="28"/>
          <w:szCs w:val="28"/>
        </w:rPr>
      </w:pPr>
      <w:r w:rsidRPr="00AC7224">
        <w:rPr>
          <w:b/>
          <w:sz w:val="28"/>
          <w:szCs w:val="28"/>
        </w:rPr>
        <w:t>6. Aspekty formalne</w:t>
      </w:r>
    </w:p>
    <w:p w:rsidR="00032D3B" w:rsidRDefault="00032D3B" w:rsidP="00032D3B"/>
    <w:p w:rsidR="00032D3B" w:rsidRDefault="00032D3B" w:rsidP="00032D3B">
      <w:r>
        <w:t>Rozprawa została napisana w języku angielskim i zawiera odpowiednią strukturę akademicką: wprowadzenie, osadzenie konceptualne i teoretyczne, rozwój metodologiczny, badania etapowe, rozdział dotyczący trafności i oceny, dyskusję i implikacje oraz aneksy dotyczące zbiorów danych i macierzy.</w:t>
      </w:r>
    </w:p>
    <w:p w:rsidR="00032D3B" w:rsidRDefault="00032D3B" w:rsidP="00032D3B"/>
    <w:p w:rsidR="00032D3B" w:rsidRDefault="00032D3B" w:rsidP="00032D3B">
      <w:r>
        <w:t>Uwzględnienie tabel i aneksów (zbiory danych, macierze najlepszych praktyk) jest szczególnie właściwe ze względu na metodologiczny charakter pracy. Aparat bibliograficzny wydaje się obszerny i zgodny ze standardową praktyką akademicką (na podstawie widocznych cytowań w przytoczonych fragmentach). Rozprawa wykazuje dbałość o przejrzystość terminologiczną i zakotwiczenie definicyjne.</w:t>
      </w:r>
    </w:p>
    <w:p w:rsidR="00032D3B" w:rsidRDefault="00032D3B" w:rsidP="00032D3B"/>
    <w:p w:rsidR="00032D3B" w:rsidRDefault="00032D3B" w:rsidP="00032D3B">
      <w:r>
        <w:t>Gdybym miał wskazać obszary wymagające poprawy formalnej, dotyczyłyby one przede wszystkim „dopracowania prezentacji”, a nie kwestii merytorycznych:</w:t>
      </w:r>
    </w:p>
    <w:p w:rsidR="00032D3B" w:rsidRDefault="00032D3B" w:rsidP="00032D3B">
      <w:r>
        <w:t>• zapewnienie konsekwentnego użycia kluczowych terminów (np. DG vs DGB vs DGVL vs DGVLB) w przejściach między rozdziałami;</w:t>
      </w:r>
    </w:p>
    <w:p w:rsidR="00032D3B" w:rsidRDefault="00032D3B" w:rsidP="00032D3B">
      <w:r>
        <w:t>• dodanie krótkich „podsumowań końca rozdziału”, które przypominałyby, co zostało osiągnięte względem RO1–RO4, aby ułatwić czytelnikowi śledzenie głównej osi argumentacji;</w:t>
      </w:r>
    </w:p>
    <w:p w:rsidR="00032D3B" w:rsidRDefault="00032D3B" w:rsidP="00032D3B"/>
    <w:p w:rsidR="00032D3B" w:rsidRDefault="00032D3B" w:rsidP="00032D3B">
      <w:r>
        <w:t>Żadna z tych kwestii nie stanowi uchybienia formalnego; są to rekomendacje służące wzmocnieniu czytelności i obrony stanowiska.</w:t>
      </w:r>
    </w:p>
    <w:p w:rsidR="00032D3B" w:rsidRDefault="00032D3B" w:rsidP="00032D3B"/>
    <w:p w:rsidR="00032D3B" w:rsidRPr="00AC7224" w:rsidRDefault="00032D3B" w:rsidP="00032D3B">
      <w:pPr>
        <w:rPr>
          <w:b/>
          <w:sz w:val="28"/>
          <w:szCs w:val="28"/>
        </w:rPr>
      </w:pPr>
      <w:r w:rsidRPr="00AC7224">
        <w:rPr>
          <w:b/>
          <w:sz w:val="28"/>
          <w:szCs w:val="28"/>
        </w:rPr>
        <w:t>7. Konkluzja i rekomendacja</w:t>
      </w:r>
    </w:p>
    <w:p w:rsidR="00032D3B" w:rsidRDefault="00032D3B" w:rsidP="00032D3B"/>
    <w:p w:rsidR="00032D3B" w:rsidRDefault="00032D3B" w:rsidP="00032D3B">
      <w:r>
        <w:t xml:space="preserve">W świetle powyższej oceny stwierdzam, że rozprawa </w:t>
      </w:r>
      <w:r w:rsidRPr="00AC7224">
        <w:rPr>
          <w:i/>
        </w:rPr>
        <w:t>Digital Government Value Logic - Conceptual and Benchmarking Model</w:t>
      </w:r>
      <w:r>
        <w:t xml:space="preserve"> autorstwa Jaromira Durkiewicza spełnia formalne i merytoryczne wymagania stawiane rozprawie doktorskiej, zgodnie z właściwymi ramami przywołanymi w instytucjonalnych wytycznych dotyczących przygotowania recenzji.</w:t>
      </w:r>
    </w:p>
    <w:p w:rsidR="00032D3B" w:rsidRDefault="00032D3B" w:rsidP="00032D3B"/>
    <w:p w:rsidR="00032D3B" w:rsidRDefault="00032D3B" w:rsidP="00032D3B">
      <w:r>
        <w:t>Praca przedstawia spójny i oryginalny wkład konceptualno-metodologiczny do dyscypliny, wykazuje ogólną wiedzę teoretyczną doktoranta oraz jego zdolność do samodzielnego prowadzenia badań, a także proponuje wykonalne i dobrze uzasadnione podejście do zwiększenia znaczenia benchmarkingu rządu cyfrowego dla polityki publicznej.</w:t>
      </w:r>
    </w:p>
    <w:p w:rsidR="00032D3B" w:rsidRDefault="00032D3B" w:rsidP="00032D3B"/>
    <w:p w:rsidR="00032D3B" w:rsidRPr="00AC7224" w:rsidRDefault="00032D3B" w:rsidP="00032D3B">
      <w:pPr>
        <w:rPr>
          <w:b/>
        </w:rPr>
      </w:pPr>
      <w:r w:rsidRPr="00AC7224">
        <w:rPr>
          <w:b/>
        </w:rPr>
        <w:t>W związku z tym przedstawiam konkluzję pozytywną i wnoszę o: dopuszczenie do obrony (recenzja pozytywna).</w:t>
      </w:r>
    </w:p>
    <w:p w:rsidR="00032D3B" w:rsidRDefault="00032D3B" w:rsidP="00032D3B"/>
    <w:p w:rsidR="00032D3B" w:rsidRPr="00AC7224" w:rsidRDefault="00032D3B" w:rsidP="00032D3B">
      <w:pPr>
        <w:rPr>
          <w:b/>
          <w:sz w:val="28"/>
          <w:szCs w:val="28"/>
        </w:rPr>
      </w:pPr>
      <w:r w:rsidRPr="00AC7224">
        <w:rPr>
          <w:b/>
          <w:sz w:val="28"/>
          <w:szCs w:val="28"/>
        </w:rPr>
        <w:t>8. Pytania do kandydata</w:t>
      </w:r>
    </w:p>
    <w:p w:rsidR="00032D3B" w:rsidRDefault="00032D3B" w:rsidP="00032D3B"/>
    <w:p w:rsidR="00032D3B" w:rsidRDefault="00032D3B" w:rsidP="00032D3B">
      <w:r>
        <w:t>W celu uzupełnienia recenzji i wsparcia merytorycznej dyskusji proponuję następujące pytania:</w:t>
      </w:r>
    </w:p>
    <w:p w:rsidR="00032D3B" w:rsidRDefault="00032D3B" w:rsidP="00032D3B"/>
    <w:p w:rsidR="00032D3B" w:rsidRDefault="00032D3B" w:rsidP="00032D3B">
      <w:r>
        <w:t xml:space="preserve">1. </w:t>
      </w:r>
      <w:r w:rsidRPr="00AC7224">
        <w:rPr>
          <w:b/>
        </w:rPr>
        <w:t>O granice pojęciowe</w:t>
      </w:r>
      <w:r>
        <w:t>: DGVL został zaprojektowany jako „wspomagany technologią system generowania wartości publicznej”. Jakie są reguły wyznaczania granic tego systemu? Na przykład: gdzie umieszcza Pan szersze zaufanie instytucjonalne, wolność mediów czy zdolność fiskalną — wewnątrz systemu DG, w jego otoczeniu czy jako warunki moderujące?</w:t>
      </w:r>
    </w:p>
    <w:p w:rsidR="00032D3B" w:rsidRDefault="00032D3B" w:rsidP="00032D3B">
      <w:r>
        <w:t xml:space="preserve">2. </w:t>
      </w:r>
      <w:r w:rsidRPr="00110F7D">
        <w:rPr>
          <w:b/>
        </w:rPr>
        <w:t>O język przyczynowy i interpretację</w:t>
      </w:r>
      <w:r>
        <w:t>: W jaki sposób, Pana zdaniem, decydenci powinni interpretować wynik „nieefektywności” w procesie takim jak TECHNOLOGY to GOVERNANCE/POLICY, biorąc pod uwagę liczne czynniki zakłócające wpływające na jakość rządzenia? Jakie zabezpieczenia interpretacyjne Pan rekomenduje?</w:t>
      </w:r>
    </w:p>
    <w:p w:rsidR="00032D3B" w:rsidRDefault="00032D3B" w:rsidP="00032D3B">
      <w:r>
        <w:t xml:space="preserve">3. </w:t>
      </w:r>
      <w:r w:rsidRPr="00110F7D">
        <w:rPr>
          <w:b/>
        </w:rPr>
        <w:t>O wybór modelu DEA i efekty granicy efektywności</w:t>
      </w:r>
      <w:r>
        <w:t>: Dlaczego wybrał Pan kombinację CCR-O oraz wariantów BCC jako podstawowy zestaw porównawczy i jak decydent powinien interpretować różnice między klasyfikacjami efektywności CCR i BCC dla tego samego procesu?</w:t>
      </w:r>
    </w:p>
    <w:p w:rsidR="00032D3B" w:rsidRDefault="00032D3B" w:rsidP="00032D3B">
      <w:r>
        <w:t xml:space="preserve">4. </w:t>
      </w:r>
      <w:r w:rsidRPr="00110F7D">
        <w:rPr>
          <w:b/>
        </w:rPr>
        <w:t>O operacjonalizację „benchlearning</w:t>
      </w:r>
      <w:r>
        <w:t>”:</w:t>
      </w:r>
      <w:bookmarkStart w:id="0" w:name="_GoBack"/>
      <w:bookmarkEnd w:id="0"/>
      <w:r>
        <w:t xml:space="preserve"> Macierze najlepszych praktyk implikują strukturę uczenia się typu mentor–uczeń. Jaki rzeczywisty mechanizm proponuje Pan dla przekształcenia tych macierzy w praktyczne programy uczenia się (np. przeglądy partnerskie, ukierunkowaną wymianę zdolności, rozwiązania na poziomie zarządzania w UE)?</w:t>
      </w:r>
    </w:p>
    <w:p w:rsidR="00032D3B" w:rsidRDefault="00032D3B" w:rsidP="00032D3B"/>
    <w:p w:rsidR="00032D3B" w:rsidRDefault="00032D3B" w:rsidP="00032D3B">
      <w:r>
        <w:t>Samos, Grecja</w:t>
      </w:r>
    </w:p>
    <w:p w:rsidR="00032D3B" w:rsidRDefault="00032D3B" w:rsidP="00032D3B">
      <w:r>
        <w:t>15 marca 2026 r.</w:t>
      </w:r>
    </w:p>
    <w:p w:rsidR="00032D3B" w:rsidRDefault="00032D3B" w:rsidP="00032D3B"/>
    <w:p w:rsidR="002066D1" w:rsidRDefault="00032D3B" w:rsidP="00032D3B">
      <w:r>
        <w:t>Yannis Charalabidis</w:t>
      </w:r>
    </w:p>
    <w:sectPr w:rsidR="002066D1"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3B"/>
    <w:rsid w:val="00032D3B"/>
    <w:rsid w:val="00110F7D"/>
    <w:rsid w:val="002066D1"/>
    <w:rsid w:val="002514FE"/>
    <w:rsid w:val="00273B16"/>
    <w:rsid w:val="002E2D02"/>
    <w:rsid w:val="00477B1E"/>
    <w:rsid w:val="004C229C"/>
    <w:rsid w:val="004E090E"/>
    <w:rsid w:val="00534981"/>
    <w:rsid w:val="005C495D"/>
    <w:rsid w:val="00705180"/>
    <w:rsid w:val="0077544D"/>
    <w:rsid w:val="00AC7224"/>
    <w:rsid w:val="00D05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5039"/>
  <w15:chartTrackingRefBased/>
  <w15:docId w15:val="{04842D96-82A0-954F-B5D3-6F4B2655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3407</Words>
  <Characters>24182</Characters>
  <Application>Microsoft Office Word</Application>
  <DocSecurity>0</DocSecurity>
  <Lines>455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Anna Kucharska-Raczunas</cp:lastModifiedBy>
  <cp:revision>1</cp:revision>
  <dcterms:created xsi:type="dcterms:W3CDTF">2026-03-20T17:46:00Z</dcterms:created>
  <dcterms:modified xsi:type="dcterms:W3CDTF">2026-03-21T11:05:00Z</dcterms:modified>
</cp:coreProperties>
</file>